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5E" w:rsidRDefault="00E95334" w:rsidP="005D3DD1">
      <w:pPr>
        <w:spacing w:line="240" w:lineRule="auto"/>
        <w:ind w:left="-1276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52pt;height:94.5pt" adj="5665" fillcolor="#943634 [2405]">
            <v:shadow color="#868686"/>
            <v:textpath style="font-family:&quot;Impact&quot;;v-text-kern:t" trim="t" fitpath="t" xscale="f" string="Классный час &quot;Где торгуют смертью?&quot;"/>
          </v:shape>
        </w:pict>
      </w:r>
    </w:p>
    <w:p w:rsidR="00C05A4F" w:rsidRDefault="00C05A4F" w:rsidP="005D3DD1">
      <w:pPr>
        <w:spacing w:line="240" w:lineRule="auto"/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4114945" cy="3086100"/>
            <wp:effectExtent l="304800" t="266700" r="323705" b="266700"/>
            <wp:docPr id="1" name="Рисунок 0" descr="SDC1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7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945" cy="3086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5A4F" w:rsidRPr="005D3DD1" w:rsidRDefault="00C05A4F" w:rsidP="00CC1A73">
      <w:pPr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5D3DD1">
        <w:rPr>
          <w:rFonts w:ascii="Arial" w:hAnsi="Arial" w:cs="Arial"/>
          <w:b/>
        </w:rPr>
        <w:t xml:space="preserve">В период с 19 по 29 </w:t>
      </w:r>
      <w:r w:rsidR="00474825">
        <w:rPr>
          <w:rFonts w:ascii="Arial" w:hAnsi="Arial" w:cs="Arial"/>
          <w:b/>
        </w:rPr>
        <w:t>м</w:t>
      </w:r>
      <w:r w:rsidRPr="005D3DD1">
        <w:rPr>
          <w:rFonts w:ascii="Arial" w:hAnsi="Arial" w:cs="Arial"/>
          <w:b/>
        </w:rPr>
        <w:t>арта 2012 года на территории Краснодарского края проводится профилактическая антинаркотическая акция «Сообщи, где торгуют смертью»,</w:t>
      </w:r>
      <w:r w:rsidR="009D3957" w:rsidRPr="005D3DD1">
        <w:rPr>
          <w:rFonts w:ascii="Arial" w:hAnsi="Arial" w:cs="Arial"/>
          <w:b/>
        </w:rPr>
        <w:t xml:space="preserve"> основными задачами которой являются активизация гражданской позиции населения Краснодарского края по отношению к проблеме противодействия наркомании, получение оперативно-значимой информации.</w:t>
      </w:r>
    </w:p>
    <w:p w:rsidR="005D3DD1" w:rsidRPr="005D3DD1" w:rsidRDefault="009D3957" w:rsidP="005D3DD1">
      <w:pPr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5D3DD1">
        <w:rPr>
          <w:rFonts w:ascii="Arial" w:hAnsi="Arial" w:cs="Arial"/>
          <w:b/>
        </w:rPr>
        <w:t>Помощь в трудной жизненной ситуации окажет Армавирская городская общественная организация молодёжи «Жизнь без наркотиков», и проинформирует о борьбе с вредными привычками, с</w:t>
      </w:r>
      <w:r w:rsidR="005D3DD1" w:rsidRPr="005D3DD1">
        <w:rPr>
          <w:rFonts w:ascii="Arial" w:hAnsi="Arial" w:cs="Arial"/>
          <w:b/>
        </w:rPr>
        <w:t xml:space="preserve">пециалисты отдела по делам молодёжи проинформируют о досуговой занятости молодёжи. </w:t>
      </w:r>
    </w:p>
    <w:p w:rsidR="005D3DD1" w:rsidRDefault="005D3DD1" w:rsidP="005D3DD1">
      <w:pPr>
        <w:spacing w:after="0" w:line="240" w:lineRule="auto"/>
        <w:ind w:left="-284"/>
        <w:jc w:val="center"/>
        <w:rPr>
          <w:rFonts w:ascii="Arial Black" w:hAnsi="Arial Black" w:cs="Arial"/>
          <w:b/>
          <w:color w:val="C0504D" w:themeColor="accent2"/>
          <w:sz w:val="48"/>
          <w:szCs w:val="48"/>
        </w:rPr>
      </w:pPr>
      <w:r w:rsidRPr="005D3DD1">
        <w:rPr>
          <w:rFonts w:ascii="Arial Black" w:hAnsi="Arial Black" w:cs="Arial"/>
          <w:b/>
          <w:color w:val="C0504D" w:themeColor="accent2"/>
          <w:sz w:val="48"/>
          <w:szCs w:val="48"/>
        </w:rPr>
        <w:t xml:space="preserve">Телефоны доверия: </w:t>
      </w:r>
    </w:p>
    <w:p w:rsidR="009D3957" w:rsidRPr="00CC1A73" w:rsidRDefault="005D3DD1" w:rsidP="00CC1A73">
      <w:pPr>
        <w:spacing w:after="0"/>
        <w:ind w:left="-284"/>
        <w:jc w:val="center"/>
        <w:rPr>
          <w:rFonts w:ascii="Arial Black" w:hAnsi="Arial Black" w:cs="Arial"/>
          <w:b/>
          <w:color w:val="C0504D" w:themeColor="accent2"/>
          <w:sz w:val="48"/>
          <w:szCs w:val="48"/>
        </w:rPr>
      </w:pPr>
      <w:r w:rsidRPr="00CC1A73">
        <w:rPr>
          <w:rFonts w:ascii="Arial Black" w:hAnsi="Arial Black" w:cs="Arial"/>
          <w:b/>
          <w:color w:val="C0504D" w:themeColor="accent2"/>
          <w:sz w:val="48"/>
          <w:szCs w:val="48"/>
        </w:rPr>
        <w:t>4-02-02, 4-27-35</w:t>
      </w:r>
    </w:p>
    <w:p w:rsidR="00CC1A73" w:rsidRDefault="00CC1A73" w:rsidP="00CC1A73">
      <w:pPr>
        <w:spacing w:before="240"/>
        <w:ind w:left="-993" w:right="-426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CC1A73" w:rsidRDefault="00CC1A73" w:rsidP="00CC1A73">
      <w:pPr>
        <w:spacing w:before="240"/>
        <w:ind w:left="-993" w:right="-426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CC1A73" w:rsidRDefault="00CC1A73" w:rsidP="00CC1A73">
      <w:pPr>
        <w:spacing w:before="240"/>
        <w:ind w:left="-993" w:right="-426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C05A4F" w:rsidRPr="00CC1A73" w:rsidRDefault="00C05A4F" w:rsidP="00CC1A73">
      <w:pPr>
        <w:spacing w:before="240"/>
        <w:ind w:left="-993" w:right="-426"/>
        <w:jc w:val="center"/>
        <w:rPr>
          <w:rFonts w:ascii="Arial" w:hAnsi="Arial" w:cs="Arial"/>
          <w:b/>
          <w:color w:val="7030A0"/>
          <w:sz w:val="36"/>
          <w:szCs w:val="36"/>
        </w:rPr>
      </w:pPr>
      <w:r w:rsidRPr="00CC1A73">
        <w:rPr>
          <w:rFonts w:ascii="Arial" w:hAnsi="Arial" w:cs="Arial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38200" y="352425"/>
            <wp:positionH relativeFrom="margin">
              <wp:align>left</wp:align>
            </wp:positionH>
            <wp:positionV relativeFrom="margin">
              <wp:align>bottom</wp:align>
            </wp:positionV>
            <wp:extent cx="3324225" cy="2493645"/>
            <wp:effectExtent l="304800" t="266700" r="333375" b="268605"/>
            <wp:wrapSquare wrapText="bothSides"/>
            <wp:docPr id="2" name="Рисунок 1" descr="SDC1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26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936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C1A73" w:rsidRPr="00CC1A73">
        <w:rPr>
          <w:rFonts w:ascii="Arial" w:hAnsi="Arial" w:cs="Arial"/>
          <w:b/>
          <w:color w:val="7030A0"/>
          <w:sz w:val="36"/>
          <w:szCs w:val="36"/>
        </w:rPr>
        <w:t>5 «В» Классный руководитель Кузнецова Е.Д.</w:t>
      </w:r>
    </w:p>
    <w:sectPr w:rsidR="00C05A4F" w:rsidRPr="00CC1A73" w:rsidSect="00CC1A7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A4F"/>
    <w:rsid w:val="00474825"/>
    <w:rsid w:val="005D3DD1"/>
    <w:rsid w:val="009D3957"/>
    <w:rsid w:val="00C05A4F"/>
    <w:rsid w:val="00CC1A73"/>
    <w:rsid w:val="00E3075E"/>
    <w:rsid w:val="00E9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27A9-C9A9-4D64-9E72-2FB0CABF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 им. В.В. Рассохина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</dc:creator>
  <cp:keywords/>
  <dc:description/>
  <cp:lastModifiedBy>1</cp:lastModifiedBy>
  <cp:revision>4</cp:revision>
  <dcterms:created xsi:type="dcterms:W3CDTF">2012-03-24T05:55:00Z</dcterms:created>
  <dcterms:modified xsi:type="dcterms:W3CDTF">2011-09-27T05:02:00Z</dcterms:modified>
</cp:coreProperties>
</file>